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4640BD">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E840C7" w:rsidRPr="00E840C7" w:rsidRDefault="00E840C7" w:rsidP="00E840C7">
                  <w:pPr>
                    <w:pStyle w:val="NoSpacing"/>
                    <w:rPr>
                      <w:sz w:val="64"/>
                      <w:szCs w:val="64"/>
                    </w:rPr>
                  </w:pPr>
                  <w:r w:rsidRPr="00E840C7">
                    <w:rPr>
                      <w:sz w:val="64"/>
                      <w:szCs w:val="64"/>
                    </w:rPr>
                    <w:t xml:space="preserve">UNDERSTANDING RISK, CONTROL AND GOVERNANCE </w:t>
                  </w:r>
                </w:p>
                <w:p w:rsidR="003C09F2" w:rsidRDefault="00E840C7" w:rsidP="00E840C7">
                  <w:pPr>
                    <w:pStyle w:val="NoSpacing"/>
                    <w:rPr>
                      <w:sz w:val="64"/>
                      <w:szCs w:val="64"/>
                    </w:rPr>
                  </w:pPr>
                  <w:r w:rsidRPr="00E840C7">
                    <w:rPr>
                      <w:sz w:val="64"/>
                      <w:szCs w:val="64"/>
                    </w:rPr>
                    <w:t xml:space="preserve">- A BETTER APPRECIATION </w:t>
                  </w:r>
                </w:p>
                <w:p w:rsidR="003C09F2" w:rsidRPr="003C09F2" w:rsidRDefault="003C09F2" w:rsidP="00E840C7">
                  <w:pPr>
                    <w:pStyle w:val="NoSpacing"/>
                    <w:rPr>
                      <w:sz w:val="40"/>
                      <w:szCs w:val="40"/>
                    </w:rPr>
                  </w:pPr>
                </w:p>
                <w:p w:rsidR="00696AB3" w:rsidRPr="00696AB3" w:rsidRDefault="003C09F2" w:rsidP="00E840C7">
                  <w:pPr>
                    <w:pStyle w:val="NoSpacing"/>
                    <w:rPr>
                      <w:color w:val="FFFFFF"/>
                      <w:sz w:val="40"/>
                      <w:szCs w:val="40"/>
                    </w:rPr>
                  </w:pPr>
                  <w:r>
                    <w:rPr>
                      <w:sz w:val="40"/>
                      <w:szCs w:val="40"/>
                    </w:rPr>
                    <w:t>4</w:t>
                  </w:r>
                  <w:r w:rsidRPr="003C09F2">
                    <w:rPr>
                      <w:sz w:val="40"/>
                      <w:szCs w:val="40"/>
                      <w:vertAlign w:val="superscript"/>
                    </w:rPr>
                    <w:t>th</w:t>
                  </w:r>
                  <w:r>
                    <w:rPr>
                      <w:sz w:val="40"/>
                      <w:szCs w:val="40"/>
                    </w:rPr>
                    <w:t xml:space="preserve"> November / 2</w:t>
                  </w:r>
                  <w:r w:rsidRPr="003C09F2">
                    <w:rPr>
                      <w:sz w:val="40"/>
                      <w:szCs w:val="40"/>
                      <w:vertAlign w:val="superscript"/>
                    </w:rPr>
                    <w:t>nd</w:t>
                  </w:r>
                  <w:r>
                    <w:rPr>
                      <w:sz w:val="40"/>
                      <w:szCs w:val="40"/>
                    </w:rPr>
                    <w:t xml:space="preserve"> December</w:t>
                  </w:r>
                </w:p>
                <w:p w:rsidR="00696AB3" w:rsidRPr="00696AB3" w:rsidRDefault="00696AB3">
                  <w:pPr>
                    <w:pStyle w:val="NoSpacing"/>
                    <w:rPr>
                      <w:color w:val="FFFFFF"/>
                    </w:rPr>
                  </w:pPr>
                </w:p>
                <w:p w:rsidR="00696AB3" w:rsidRPr="00696AB3" w:rsidRDefault="007C2367" w:rsidP="007C2367">
                  <w:pPr>
                    <w:pStyle w:val="NoSpacing"/>
                    <w:jc w:val="both"/>
                    <w:rPr>
                      <w:color w:val="FFFFFF"/>
                    </w:rPr>
                  </w:pPr>
                  <w:r w:rsidRPr="007C2367">
                    <w:t>Risk, control and governance form the backbone of an organisation. Risks comes to business in many forms like from new leadership change, strategic decisions to change business direction to position for growth, or react to fast changing market conditions to stay competitive. Today, risk challenges apply to any organization from business structure, corporate culture and beliefs to marketplace priorities. As such, directors need to be aware of the organization’s risk profile and appetite in order to make practical business decisions.</w:t>
                  </w:r>
                </w:p>
              </w:txbxContent>
            </v:textbox>
          </v:rect>
        </w:pict>
      </w:r>
    </w:p>
    <w:p w:rsidR="00696AB3" w:rsidRDefault="00696AB3"/>
    <w:p w:rsidR="00D35263" w:rsidRDefault="004640BD">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4640BD">
      <w:r w:rsidRPr="004640BD">
        <w:rPr>
          <w:rFonts w:asciiTheme="minorHAnsi" w:hAnsiTheme="minorHAnsi"/>
          <w:noProof/>
          <w:lang w:val="en-US"/>
        </w:rPr>
        <w:lastRenderedPageBreak/>
        <w:pict>
          <v:roundrect id="_x0000_s1048" style="position:absolute;margin-left:253.4pt;margin-top:8.65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r w:rsidRPr="004640BD">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7C2367" w:rsidRDefault="007C2367" w:rsidP="007C2367">
      <w:pPr>
        <w:jc w:val="both"/>
        <w:rPr>
          <w:rFonts w:asciiTheme="minorHAnsi" w:hAnsiTheme="minorHAnsi"/>
        </w:rPr>
      </w:pPr>
      <w:r w:rsidRPr="007C2367">
        <w:rPr>
          <w:rFonts w:asciiTheme="minorHAnsi" w:hAnsiTheme="minorHAnsi"/>
        </w:rPr>
        <w:t>Risk, control and governance form the backbone of an organisation. Risks comes to business in many forms like from new leadership change, strategic decisions to change business direction to position for growth, or react to fast changing market conditions to stay competitive. Today, risk challenges apply to any organization from business structure, corporate culture and beliefs to marketplace priorities. As such, directors need to be aware of the organization’s risk profile and appetite in order to make practical business decisions.</w:t>
      </w:r>
    </w:p>
    <w:p w:rsidR="007C2367" w:rsidRDefault="004640BD" w:rsidP="003F6F40">
      <w:pPr>
        <w:rPr>
          <w:rFonts w:asciiTheme="minorHAnsi" w:hAnsiTheme="minorHAnsi"/>
        </w:rPr>
      </w:pPr>
      <w:r>
        <w:rPr>
          <w:rFonts w:asciiTheme="minorHAnsi" w:hAnsiTheme="minorHAnsi"/>
          <w:noProof/>
          <w:lang w:val="en-US"/>
        </w:rPr>
        <w:pict>
          <v:roundrect id="_x0000_s1049" style="position:absolute;margin-left:-6.8pt;margin-top:12.4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7C2367" w:rsidRDefault="007C2367" w:rsidP="00F81172">
      <w:pPr>
        <w:jc w:val="both"/>
        <w:rPr>
          <w:rFonts w:asciiTheme="minorHAnsi" w:hAnsiTheme="minorHAnsi"/>
        </w:rPr>
      </w:pPr>
      <w:r w:rsidRPr="007C2367">
        <w:rPr>
          <w:rFonts w:asciiTheme="minorHAnsi" w:hAnsiTheme="minorHAnsi"/>
        </w:rPr>
        <w:t>This half-day course is structured to help directors to:</w:t>
      </w:r>
    </w:p>
    <w:p w:rsidR="007C2367" w:rsidRPr="007C2367" w:rsidRDefault="007C2367" w:rsidP="007C2367">
      <w:pPr>
        <w:pStyle w:val="ListParagraph"/>
        <w:numPr>
          <w:ilvl w:val="0"/>
          <w:numId w:val="15"/>
        </w:numPr>
        <w:spacing w:line="240" w:lineRule="auto"/>
        <w:ind w:left="360"/>
        <w:jc w:val="both"/>
        <w:rPr>
          <w:rFonts w:asciiTheme="minorHAnsi" w:hAnsiTheme="minorHAnsi"/>
        </w:rPr>
      </w:pPr>
      <w:r w:rsidRPr="007C2367">
        <w:rPr>
          <w:rFonts w:asciiTheme="minorHAnsi" w:hAnsiTheme="minorHAnsi"/>
        </w:rPr>
        <w:t>Have a better appreciation of risk, control and governance</w:t>
      </w:r>
    </w:p>
    <w:p w:rsidR="007C2367" w:rsidRPr="007C2367" w:rsidRDefault="007C2367" w:rsidP="007C2367">
      <w:pPr>
        <w:pStyle w:val="ListParagraph"/>
        <w:numPr>
          <w:ilvl w:val="0"/>
          <w:numId w:val="15"/>
        </w:numPr>
        <w:spacing w:line="240" w:lineRule="auto"/>
        <w:ind w:left="360"/>
        <w:jc w:val="both"/>
        <w:rPr>
          <w:rFonts w:asciiTheme="minorHAnsi" w:hAnsiTheme="minorHAnsi"/>
        </w:rPr>
      </w:pPr>
      <w:r w:rsidRPr="007C2367">
        <w:rPr>
          <w:rFonts w:asciiTheme="minorHAnsi" w:hAnsiTheme="minorHAnsi"/>
        </w:rPr>
        <w:t>Have the ability to apply risk-control models in a simplifies manner</w:t>
      </w:r>
    </w:p>
    <w:p w:rsidR="00F81172" w:rsidRDefault="004640BD" w:rsidP="00F81172">
      <w:pPr>
        <w:jc w:val="both"/>
        <w:rPr>
          <w:rFonts w:asciiTheme="minorHAnsi" w:hAnsiTheme="minorHAnsi"/>
        </w:rPr>
      </w:pPr>
      <w:r w:rsidRPr="004640BD">
        <w:rPr>
          <w:rFonts w:asciiTheme="minorHAnsi" w:hAnsiTheme="minorHAnsi"/>
          <w:noProof/>
          <w:lang w:eastAsia="zh-CN"/>
        </w:rPr>
        <w:pict>
          <v:roundrect id="_x0000_s1129" style="position:absolute;left:0;text-align:left;margin-left:-6.8pt;margin-top:5.25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p>
    <w:p w:rsidR="00FA3D7F" w:rsidRDefault="00FA3D7F" w:rsidP="00F81172">
      <w:pPr>
        <w:jc w:val="both"/>
        <w:rPr>
          <w:rFonts w:asciiTheme="minorHAnsi" w:hAnsiTheme="minorHAnsi"/>
        </w:rPr>
      </w:pPr>
    </w:p>
    <w:p w:rsidR="00FA3D7F" w:rsidRDefault="00FA3D7F" w:rsidP="003F6F40">
      <w:pPr>
        <w:rPr>
          <w:rFonts w:asciiTheme="minorHAnsi" w:hAnsiTheme="minorHAnsi"/>
        </w:rPr>
      </w:pPr>
    </w:p>
    <w:p w:rsidR="007C2367" w:rsidRPr="007C2367" w:rsidRDefault="007C2367" w:rsidP="007C2367">
      <w:pPr>
        <w:pStyle w:val="ListParagraph"/>
        <w:numPr>
          <w:ilvl w:val="0"/>
          <w:numId w:val="16"/>
        </w:numPr>
        <w:spacing w:line="240" w:lineRule="auto"/>
        <w:ind w:left="360"/>
        <w:jc w:val="both"/>
        <w:rPr>
          <w:rFonts w:asciiTheme="minorHAnsi" w:hAnsiTheme="minorHAnsi"/>
        </w:rPr>
      </w:pPr>
      <w:r w:rsidRPr="007C2367">
        <w:rPr>
          <w:rFonts w:asciiTheme="minorHAnsi" w:hAnsiTheme="minorHAnsi"/>
        </w:rPr>
        <w:t>Understanding what are risks and controls and their interaction</w:t>
      </w:r>
    </w:p>
    <w:p w:rsidR="007C2367" w:rsidRPr="007C2367" w:rsidRDefault="007C2367" w:rsidP="007C2367">
      <w:pPr>
        <w:pStyle w:val="ListParagraph"/>
        <w:numPr>
          <w:ilvl w:val="0"/>
          <w:numId w:val="16"/>
        </w:numPr>
        <w:spacing w:line="240" w:lineRule="auto"/>
        <w:ind w:left="360"/>
        <w:jc w:val="both"/>
        <w:rPr>
          <w:rFonts w:asciiTheme="minorHAnsi" w:hAnsiTheme="minorHAnsi"/>
        </w:rPr>
      </w:pPr>
      <w:r w:rsidRPr="007C2367">
        <w:rPr>
          <w:rFonts w:asciiTheme="minorHAnsi" w:hAnsiTheme="minorHAnsi"/>
        </w:rPr>
        <w:t>Appreciating the Corporate Governance requirements in relation to this</w:t>
      </w:r>
    </w:p>
    <w:p w:rsidR="007C2367" w:rsidRPr="007C2367" w:rsidRDefault="007C2367" w:rsidP="007C2367">
      <w:pPr>
        <w:pStyle w:val="ListParagraph"/>
        <w:numPr>
          <w:ilvl w:val="0"/>
          <w:numId w:val="16"/>
        </w:numPr>
        <w:spacing w:line="240" w:lineRule="auto"/>
        <w:ind w:left="360"/>
        <w:jc w:val="both"/>
        <w:rPr>
          <w:rFonts w:asciiTheme="minorHAnsi" w:hAnsiTheme="minorHAnsi"/>
        </w:rPr>
      </w:pPr>
      <w:r w:rsidRPr="007C2367">
        <w:rPr>
          <w:rFonts w:asciiTheme="minorHAnsi" w:hAnsiTheme="minorHAnsi"/>
        </w:rPr>
        <w:t>The three lines of defence</w:t>
      </w:r>
    </w:p>
    <w:p w:rsidR="002176CF" w:rsidRPr="007C2367" w:rsidRDefault="007C2367" w:rsidP="007C2367">
      <w:pPr>
        <w:pStyle w:val="ListParagraph"/>
        <w:numPr>
          <w:ilvl w:val="0"/>
          <w:numId w:val="16"/>
        </w:numPr>
        <w:spacing w:line="240" w:lineRule="auto"/>
        <w:ind w:left="360"/>
        <w:jc w:val="both"/>
        <w:rPr>
          <w:rFonts w:asciiTheme="minorHAnsi" w:hAnsiTheme="minorHAnsi"/>
        </w:rPr>
      </w:pPr>
      <w:r w:rsidRPr="007C2367">
        <w:rPr>
          <w:rFonts w:asciiTheme="minorHAnsi" w:hAnsiTheme="minorHAnsi"/>
        </w:rPr>
        <w:t>Case Studies</w:t>
      </w:r>
    </w:p>
    <w:p w:rsidR="007C2367" w:rsidRDefault="007C2367" w:rsidP="007C2367">
      <w:pPr>
        <w:jc w:val="both"/>
        <w:rPr>
          <w:rFonts w:asciiTheme="minorHAnsi" w:hAnsiTheme="minorHAnsi"/>
        </w:rPr>
      </w:pPr>
    </w:p>
    <w:p w:rsidR="00FA6F8F" w:rsidRDefault="00FA6F8F" w:rsidP="007C2367">
      <w:pPr>
        <w:jc w:val="both"/>
        <w:rPr>
          <w:rFonts w:asciiTheme="minorHAnsi" w:hAnsiTheme="minorHAnsi"/>
        </w:rPr>
      </w:pPr>
    </w:p>
    <w:p w:rsidR="003C09F2" w:rsidRDefault="003C09F2" w:rsidP="007C2367">
      <w:pPr>
        <w:jc w:val="both"/>
        <w:rPr>
          <w:rFonts w:asciiTheme="minorHAnsi" w:hAnsiTheme="minorHAnsi"/>
        </w:rPr>
      </w:pPr>
      <w:r w:rsidRPr="004640BD">
        <w:rPr>
          <w:rFonts w:asciiTheme="minorHAnsi" w:hAnsiTheme="minorHAnsi"/>
          <w:noProof/>
          <w:lang w:eastAsia="zh-CN"/>
        </w:rPr>
        <w:pict>
          <v:roundrect id="_x0000_s1110" style="position:absolute;left:0;text-align:left;margin-left:-25.7pt;margin-top:6.5pt;width:538.5pt;height:196.55pt;z-index:251743232" arcsize="10923f" fillcolor="#f2f2f2 [3052]" stroked="f">
            <v:textbox style="mso-next-textbox:#_x0000_s1110">
              <w:txbxContent>
                <w:p w:rsidR="002176CF" w:rsidRDefault="002176CF" w:rsidP="002176CF">
                  <w:pPr>
                    <w:rPr>
                      <w:rFonts w:asciiTheme="minorHAnsi" w:hAnsiTheme="minorHAnsi"/>
                      <w:sz w:val="20"/>
                      <w:u w:val="single"/>
                    </w:rPr>
                  </w:pPr>
                </w:p>
                <w:p w:rsidR="003C09F2" w:rsidRPr="002176CF" w:rsidRDefault="003C09F2" w:rsidP="002176CF">
                  <w:pPr>
                    <w:rPr>
                      <w:rFonts w:asciiTheme="minorHAnsi" w:hAnsiTheme="minorHAnsi"/>
                      <w:sz w:val="20"/>
                      <w:u w:val="single"/>
                    </w:rPr>
                  </w:pPr>
                </w:p>
                <w:p w:rsidR="003C09F2" w:rsidRDefault="003C09F2" w:rsidP="003C09F2">
                  <w:pPr>
                    <w:ind w:left="270"/>
                    <w:rPr>
                      <w:rFonts w:asciiTheme="minorHAnsi" w:hAnsiTheme="minorHAnsi"/>
                      <w:b/>
                      <w:sz w:val="20"/>
                    </w:rPr>
                  </w:pPr>
                </w:p>
                <w:p w:rsidR="002176CF" w:rsidRPr="002176CF" w:rsidRDefault="002176CF" w:rsidP="003C09F2">
                  <w:pPr>
                    <w:ind w:left="270"/>
                    <w:rPr>
                      <w:rFonts w:asciiTheme="minorHAnsi" w:hAnsiTheme="minorHAnsi"/>
                      <w:b/>
                      <w:sz w:val="20"/>
                    </w:rPr>
                  </w:pPr>
                  <w:r w:rsidRPr="002176CF">
                    <w:rPr>
                      <w:rFonts w:asciiTheme="minorHAnsi" w:hAnsiTheme="minorHAnsi"/>
                      <w:b/>
                      <w:sz w:val="20"/>
                    </w:rPr>
                    <w:t>MR. DEVANESAN EVANSON</w:t>
                  </w:r>
                </w:p>
                <w:p w:rsidR="003C09F2" w:rsidRDefault="003C09F2" w:rsidP="003C09F2">
                  <w:pPr>
                    <w:spacing w:line="120" w:lineRule="auto"/>
                    <w:ind w:left="274"/>
                    <w:jc w:val="both"/>
                    <w:rPr>
                      <w:rFonts w:asciiTheme="minorHAnsi" w:hAnsiTheme="minorHAnsi"/>
                      <w:sz w:val="20"/>
                    </w:rPr>
                  </w:pPr>
                </w:p>
                <w:p w:rsidR="003C09F2" w:rsidRDefault="002176CF" w:rsidP="003C09F2">
                  <w:pPr>
                    <w:ind w:left="270"/>
                    <w:jc w:val="both"/>
                    <w:rPr>
                      <w:rFonts w:asciiTheme="minorHAnsi" w:hAnsiTheme="minorHAnsi"/>
                      <w:sz w:val="20"/>
                    </w:rPr>
                  </w:pPr>
                  <w:r w:rsidRPr="002176CF">
                    <w:rPr>
                      <w:rFonts w:asciiTheme="minorHAnsi" w:hAnsiTheme="minorHAnsi"/>
                      <w:sz w:val="20"/>
                    </w:rPr>
                    <w:t>Mr. Devanesan Evanson, who holds a LLB (Hons), is a fellow member of the Association of Chartered Certified Accountants (FCCA) and past president of the Malaysian Advisory Committee of ACCA. He is also a member of the MIA and a past council member of MIA. He is a Governor with IIA Malaysia and a past president.</w:t>
                  </w:r>
                </w:p>
                <w:p w:rsidR="003C09F2" w:rsidRDefault="003C09F2" w:rsidP="003C09F2">
                  <w:pPr>
                    <w:spacing w:line="120" w:lineRule="auto"/>
                    <w:ind w:left="274"/>
                    <w:jc w:val="both"/>
                    <w:rPr>
                      <w:rFonts w:asciiTheme="minorHAnsi" w:hAnsiTheme="minorHAnsi"/>
                      <w:sz w:val="20"/>
                    </w:rPr>
                  </w:pPr>
                </w:p>
                <w:p w:rsidR="003C09F2" w:rsidRDefault="002176CF" w:rsidP="003C09F2">
                  <w:pPr>
                    <w:ind w:left="270"/>
                    <w:jc w:val="both"/>
                    <w:rPr>
                      <w:rFonts w:asciiTheme="minorHAnsi" w:hAnsiTheme="minorHAnsi"/>
                      <w:sz w:val="20"/>
                    </w:rPr>
                  </w:pPr>
                  <w:r w:rsidRPr="002176CF">
                    <w:rPr>
                      <w:rFonts w:asciiTheme="minorHAnsi" w:hAnsiTheme="minorHAnsi"/>
                      <w:sz w:val="20"/>
                    </w:rP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p>
                <w:p w:rsidR="003C09F2" w:rsidRDefault="003C09F2" w:rsidP="003C09F2">
                  <w:pPr>
                    <w:ind w:left="270"/>
                    <w:jc w:val="both"/>
                    <w:rPr>
                      <w:rFonts w:asciiTheme="minorHAnsi" w:hAnsiTheme="minorHAnsi"/>
                      <w:sz w:val="20"/>
                    </w:rPr>
                  </w:pPr>
                </w:p>
                <w:p w:rsidR="002176CF" w:rsidRPr="002176CF" w:rsidRDefault="002176CF" w:rsidP="003C09F2">
                  <w:pPr>
                    <w:ind w:left="270"/>
                    <w:jc w:val="both"/>
                    <w:rPr>
                      <w:rFonts w:asciiTheme="minorHAnsi" w:hAnsiTheme="minorHAnsi"/>
                      <w:sz w:val="20"/>
                    </w:rPr>
                  </w:pPr>
                  <w:r w:rsidRPr="002176CF">
                    <w:rPr>
                      <w:rFonts w:asciiTheme="minorHAnsi" w:hAnsiTheme="minorHAnsi"/>
                      <w:sz w:val="20"/>
                    </w:rPr>
                    <w:t>Devanesan is currently a free-lance trainer in the areas of Risk, Controls, Governance, Internal Audit and Listing Requirements.</w:t>
                  </w:r>
                </w:p>
              </w:txbxContent>
            </v:textbox>
          </v:roundrect>
        </w:pict>
      </w:r>
    </w:p>
    <w:p w:rsidR="007C2367" w:rsidRDefault="003C09F2" w:rsidP="007C2367">
      <w:pPr>
        <w:jc w:val="both"/>
        <w:rPr>
          <w:rFonts w:asciiTheme="minorHAnsi" w:hAnsiTheme="minorHAnsi"/>
        </w:rPr>
      </w:pPr>
      <w:r>
        <w:rPr>
          <w:rFonts w:asciiTheme="minorHAnsi" w:hAnsiTheme="minorHAnsi"/>
          <w:noProof/>
          <w:lang w:val="en-US"/>
        </w:rPr>
        <w:pict>
          <v:roundrect id="_x0000_s1132" style="position:absolute;left:0;text-align:left;margin-left:-6.8pt;margin-top:10.65pt;width:150.55pt;height:23.4pt;z-index:251744256" arcsize="10923f">
            <v:shadow on="t" offset="3pt" offset2="2pt"/>
            <v:textbox style="mso-next-textbox:#_x0000_s1132">
              <w:txbxContent>
                <w:p w:rsidR="003C09F2" w:rsidRPr="00B374FE" w:rsidRDefault="003C09F2" w:rsidP="003C09F2">
                  <w:pPr>
                    <w:rPr>
                      <w:rFonts w:asciiTheme="minorHAnsi" w:hAnsiTheme="minorHAnsi"/>
                    </w:rPr>
                  </w:pPr>
                  <w:r>
                    <w:rPr>
                      <w:rFonts w:asciiTheme="minorHAnsi" w:hAnsiTheme="minorHAnsi"/>
                    </w:rPr>
                    <w:t>COURSE COVERAGE</w:t>
                  </w:r>
                </w:p>
              </w:txbxContent>
            </v:textbox>
          </v:roundrect>
        </w:pict>
      </w:r>
    </w:p>
    <w:p w:rsidR="007C2367" w:rsidRDefault="007C2367" w:rsidP="007C2367">
      <w:pPr>
        <w:jc w:val="both"/>
        <w:rPr>
          <w:rFonts w:asciiTheme="minorHAnsi" w:hAnsiTheme="minorHAnsi"/>
        </w:rPr>
      </w:pPr>
    </w:p>
    <w:p w:rsidR="007C2367" w:rsidRDefault="007C2367" w:rsidP="007C2367">
      <w:pPr>
        <w:jc w:val="both"/>
        <w:rPr>
          <w:rFonts w:asciiTheme="minorHAnsi" w:hAnsiTheme="minorHAnsi"/>
        </w:rPr>
      </w:pPr>
    </w:p>
    <w:p w:rsidR="007C2367" w:rsidRDefault="007C2367" w:rsidP="007C2367">
      <w:pPr>
        <w:jc w:val="both"/>
        <w:rPr>
          <w:rFonts w:asciiTheme="minorHAnsi" w:hAnsiTheme="minorHAnsi"/>
        </w:rPr>
      </w:pPr>
    </w:p>
    <w:p w:rsidR="007C2367" w:rsidRDefault="007C2367" w:rsidP="007C2367">
      <w:pPr>
        <w:jc w:val="both"/>
        <w:rPr>
          <w:rFonts w:asciiTheme="minorHAnsi" w:hAnsiTheme="minorHAnsi"/>
        </w:rPr>
      </w:pPr>
    </w:p>
    <w:p w:rsidR="003C09F2" w:rsidRPr="003C09F2" w:rsidRDefault="00FA3D7F" w:rsidP="003C09F2">
      <w:pPr>
        <w:pStyle w:val="ListParagraph"/>
        <w:numPr>
          <w:ilvl w:val="0"/>
          <w:numId w:val="17"/>
        </w:numPr>
        <w:spacing w:after="100" w:afterAutospacing="1" w:line="240" w:lineRule="auto"/>
        <w:ind w:left="274" w:hanging="274"/>
        <w:rPr>
          <w:rFonts w:asciiTheme="minorHAnsi" w:hAnsiTheme="minorHAnsi"/>
        </w:rPr>
      </w:pPr>
      <w:r w:rsidRPr="003C09F2">
        <w:rPr>
          <w:rFonts w:asciiTheme="minorHAnsi" w:hAnsiTheme="minorHAnsi"/>
        </w:rPr>
        <w:t>Company Directors</w:t>
      </w:r>
    </w:p>
    <w:p w:rsidR="00FA3D7F" w:rsidRPr="003C09F2" w:rsidRDefault="00FA3D7F" w:rsidP="003C09F2">
      <w:pPr>
        <w:pStyle w:val="ListParagraph"/>
        <w:numPr>
          <w:ilvl w:val="0"/>
          <w:numId w:val="17"/>
        </w:numPr>
        <w:spacing w:after="100" w:afterAutospacing="1" w:line="240" w:lineRule="auto"/>
        <w:ind w:left="274" w:hanging="274"/>
        <w:rPr>
          <w:rFonts w:asciiTheme="minorHAnsi" w:hAnsiTheme="minorHAnsi"/>
        </w:rPr>
      </w:pPr>
      <w:r w:rsidRPr="003C09F2">
        <w:rPr>
          <w:rFonts w:asciiTheme="minorHAnsi" w:hAnsiTheme="minorHAnsi"/>
        </w:rPr>
        <w:t>Financial Controllers &amp; Finance Managers</w:t>
      </w:r>
      <w:r w:rsidR="003C09F2" w:rsidRPr="003C09F2">
        <w:rPr>
          <w:rFonts w:asciiTheme="minorHAnsi" w:hAnsiTheme="minorHAnsi"/>
        </w:rPr>
        <w:t xml:space="preserve"> Accountants &amp; Auditors</w:t>
      </w:r>
    </w:p>
    <w:p w:rsidR="003C09F2" w:rsidRPr="003C09F2" w:rsidRDefault="00FA3D7F" w:rsidP="003C09F2">
      <w:pPr>
        <w:pStyle w:val="ListParagraph"/>
        <w:numPr>
          <w:ilvl w:val="0"/>
          <w:numId w:val="17"/>
        </w:numPr>
        <w:spacing w:after="100" w:afterAutospacing="1" w:line="240" w:lineRule="auto"/>
        <w:ind w:left="274" w:hanging="274"/>
        <w:rPr>
          <w:rFonts w:asciiTheme="minorHAnsi" w:hAnsiTheme="minorHAnsi"/>
        </w:rPr>
      </w:pPr>
      <w:r w:rsidRPr="003C09F2">
        <w:rPr>
          <w:rFonts w:asciiTheme="minorHAnsi" w:hAnsiTheme="minorHAnsi"/>
        </w:rPr>
        <w:t>Company Secretaries</w:t>
      </w:r>
    </w:p>
    <w:p w:rsidR="00FA3D7F" w:rsidRPr="003C09F2" w:rsidRDefault="00FA3D7F" w:rsidP="003C09F2">
      <w:pPr>
        <w:pStyle w:val="ListParagraph"/>
        <w:numPr>
          <w:ilvl w:val="0"/>
          <w:numId w:val="17"/>
        </w:numPr>
        <w:spacing w:after="100" w:afterAutospacing="1" w:line="240" w:lineRule="auto"/>
        <w:ind w:left="274" w:hanging="274"/>
        <w:rPr>
          <w:rFonts w:asciiTheme="minorHAnsi" w:hAnsiTheme="minorHAnsi"/>
        </w:rPr>
      </w:pPr>
      <w:r w:rsidRPr="003C09F2">
        <w:rPr>
          <w:rFonts w:asciiTheme="minorHAnsi" w:hAnsiTheme="minorHAnsi"/>
        </w:rPr>
        <w:t>Academicians</w:t>
      </w:r>
      <w:r w:rsidR="003C09F2" w:rsidRPr="003C09F2">
        <w:rPr>
          <w:rFonts w:asciiTheme="minorHAnsi" w:hAnsiTheme="minorHAnsi"/>
        </w:rPr>
        <w:t xml:space="preserve"> </w:t>
      </w:r>
      <w:r w:rsidRPr="003C09F2">
        <w:rPr>
          <w:rFonts w:asciiTheme="minorHAnsi" w:hAnsiTheme="minorHAnsi"/>
        </w:rPr>
        <w:t>Fund &amp; Investment Managers</w:t>
      </w:r>
    </w:p>
    <w:p w:rsidR="00FA3D7F" w:rsidRDefault="004640BD" w:rsidP="003F6F40">
      <w:pPr>
        <w:rPr>
          <w:rFonts w:asciiTheme="minorHAnsi" w:hAnsiTheme="minorHAnsi"/>
        </w:rPr>
      </w:pPr>
      <w:r>
        <w:rPr>
          <w:rFonts w:asciiTheme="minorHAnsi" w:hAnsiTheme="minorHAnsi"/>
          <w:noProof/>
          <w:lang w:val="en-US"/>
        </w:rPr>
        <w:pict>
          <v:roundrect id="_x0000_s1050" style="position:absolute;margin-left:-4.4pt;margin-top:9.15pt;width:150.55pt;height:23.4pt;z-index:-251652096" arcsize="10923f">
            <v:shadow on="t" offset="3pt" offset2="2pt"/>
            <v:textbox style="mso-next-textbox:#_x0000_s1050">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FA3D7F" w:rsidRDefault="00FA3D7F" w:rsidP="003F6F40">
      <w:pPr>
        <w:rPr>
          <w:rFonts w:asciiTheme="minorHAnsi" w:hAnsiTheme="minorHAnsi"/>
        </w:rPr>
      </w:pPr>
      <w:r w:rsidRPr="00FA3D7F">
        <w:rPr>
          <w:rFonts w:asciiTheme="minorHAnsi" w:hAnsiTheme="minorHAnsi"/>
        </w:rPr>
        <w:t>Lectures facilitated by PowerPoint presentation and case studies discussion.</w:t>
      </w:r>
    </w:p>
    <w:p w:rsidR="00FA3D7F" w:rsidRDefault="00FA3D7F" w:rsidP="003F6F40">
      <w:pPr>
        <w:rPr>
          <w:rFonts w:asciiTheme="minorHAnsi" w:hAnsiTheme="minorHAnsi"/>
        </w:rPr>
      </w:pPr>
    </w:p>
    <w:p w:rsidR="00FA3D7F" w:rsidRDefault="004640BD"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Style w:val="LightShading"/>
        <w:tblW w:w="5095" w:type="dxa"/>
        <w:tblLayout w:type="fixed"/>
        <w:tblLook w:val="04A0"/>
      </w:tblPr>
      <w:tblGrid>
        <w:gridCol w:w="1458"/>
        <w:gridCol w:w="270"/>
        <w:gridCol w:w="3367"/>
      </w:tblGrid>
      <w:tr w:rsidR="00D90843" w:rsidRPr="00D90843" w:rsidTr="003C09F2">
        <w:trPr>
          <w:cnfStyle w:val="1000000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70" w:type="dxa"/>
          </w:tcPr>
          <w:p w:rsidR="00D90843" w:rsidRPr="00D90843" w:rsidRDefault="00D90843" w:rsidP="00D102CC">
            <w:pPr>
              <w:ind w:right="308"/>
              <w:jc w:val="both"/>
              <w:cnfStyle w:val="100000000000"/>
              <w:rPr>
                <w:rFonts w:asciiTheme="minorHAnsi" w:hAnsiTheme="minorHAnsi" w:cs="Segoe UI Semibold"/>
                <w:sz w:val="20"/>
              </w:rPr>
            </w:pPr>
            <w:r w:rsidRPr="00D90843">
              <w:rPr>
                <w:rFonts w:asciiTheme="minorHAnsi" w:hAnsiTheme="minorHAnsi" w:cs="Segoe UI Semibold"/>
                <w:sz w:val="20"/>
              </w:rPr>
              <w:t>:</w:t>
            </w:r>
          </w:p>
        </w:tc>
        <w:tc>
          <w:tcPr>
            <w:tcW w:w="3367" w:type="dxa"/>
          </w:tcPr>
          <w:p w:rsidR="00D90843" w:rsidRPr="00D90843" w:rsidRDefault="003C09F2" w:rsidP="00E840C7">
            <w:pPr>
              <w:ind w:right="308"/>
              <w:jc w:val="both"/>
              <w:cnfStyle w:val="100000000000"/>
              <w:rPr>
                <w:rFonts w:asciiTheme="minorHAnsi" w:hAnsiTheme="minorHAnsi" w:cs="Segoe UI Semibold"/>
                <w:sz w:val="20"/>
              </w:rPr>
            </w:pPr>
            <w:r>
              <w:rPr>
                <w:rFonts w:asciiTheme="minorHAnsi" w:hAnsiTheme="minorHAnsi" w:cs="Segoe UI Semibold"/>
                <w:sz w:val="20"/>
              </w:rPr>
              <w:t>4</w:t>
            </w:r>
            <w:r w:rsidRPr="003C09F2">
              <w:rPr>
                <w:rFonts w:asciiTheme="minorHAnsi" w:hAnsiTheme="minorHAnsi" w:cs="Segoe UI Semibold"/>
                <w:sz w:val="20"/>
                <w:vertAlign w:val="superscript"/>
              </w:rPr>
              <w:t>th</w:t>
            </w:r>
            <w:r>
              <w:rPr>
                <w:rFonts w:asciiTheme="minorHAnsi" w:hAnsiTheme="minorHAnsi" w:cs="Segoe UI Semibold"/>
                <w:sz w:val="20"/>
              </w:rPr>
              <w:t xml:space="preserve"> Nov / 2</w:t>
            </w:r>
            <w:r w:rsidRPr="003C09F2">
              <w:rPr>
                <w:rFonts w:asciiTheme="minorHAnsi" w:hAnsiTheme="minorHAnsi" w:cs="Segoe UI Semibold"/>
                <w:sz w:val="20"/>
                <w:vertAlign w:val="superscript"/>
              </w:rPr>
              <w:t>nd</w:t>
            </w:r>
            <w:r>
              <w:rPr>
                <w:rFonts w:asciiTheme="minorHAnsi" w:hAnsiTheme="minorHAnsi" w:cs="Segoe UI Semibold"/>
                <w:sz w:val="20"/>
              </w:rPr>
              <w:t xml:space="preserve"> Dec 2016</w:t>
            </w:r>
          </w:p>
        </w:tc>
      </w:tr>
      <w:tr w:rsidR="00D90843" w:rsidRPr="00D90843" w:rsidTr="003C09F2">
        <w:trPr>
          <w:cnfStyle w:val="0000001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7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3367" w:type="dxa"/>
          </w:tcPr>
          <w:p w:rsidR="00D90843" w:rsidRPr="00D90843" w:rsidRDefault="00B374FE" w:rsidP="00B374FE">
            <w:pPr>
              <w:ind w:right="308"/>
              <w:jc w:val="both"/>
              <w:cnfStyle w:val="000000100000"/>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3C09F2">
        <w:trPr>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7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367" w:type="dxa"/>
          </w:tcPr>
          <w:p w:rsidR="00D90843" w:rsidRPr="00D90843" w:rsidRDefault="003C09F2" w:rsidP="00D102CC">
            <w:pPr>
              <w:ind w:right="308"/>
              <w:jc w:val="both"/>
              <w:cnfStyle w:val="000000000000"/>
              <w:rPr>
                <w:rFonts w:asciiTheme="minorHAnsi" w:hAnsiTheme="minorHAnsi" w:cs="Segoe UI Semibold"/>
                <w:sz w:val="20"/>
              </w:rPr>
            </w:pPr>
            <w:r>
              <w:rPr>
                <w:rFonts w:asciiTheme="minorHAnsi" w:hAnsiTheme="minorHAnsi" w:cs="Segoe UI Semibold"/>
                <w:sz w:val="20"/>
              </w:rPr>
              <w:t>To be advised</w:t>
            </w:r>
          </w:p>
        </w:tc>
      </w:tr>
      <w:tr w:rsidR="00D90843" w:rsidRPr="00D90843" w:rsidTr="003C09F2">
        <w:trPr>
          <w:cnfStyle w:val="000000100000"/>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7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3367" w:type="dxa"/>
          </w:tcPr>
          <w:p w:rsidR="00D90843" w:rsidRPr="00D90843" w:rsidRDefault="00D90843" w:rsidP="003C09F2">
            <w:pPr>
              <w:ind w:right="308"/>
              <w:jc w:val="both"/>
              <w:cnfStyle w:val="000000100000"/>
              <w:rPr>
                <w:rFonts w:asciiTheme="minorHAnsi" w:hAnsiTheme="minorHAnsi" w:cs="Segoe UI Semibold"/>
                <w:sz w:val="20"/>
              </w:rPr>
            </w:pPr>
            <w:r w:rsidRPr="00D90843">
              <w:rPr>
                <w:rFonts w:asciiTheme="minorHAnsi" w:hAnsiTheme="minorHAnsi" w:cs="Segoe UI Semibold"/>
                <w:sz w:val="20"/>
              </w:rPr>
              <w:t>RM</w:t>
            </w:r>
            <w:r w:rsidR="003C09F2">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3C09F2">
              <w:rPr>
                <w:rFonts w:asciiTheme="minorHAnsi" w:hAnsiTheme="minorHAnsi" w:cs="Segoe UI Semibold"/>
                <w:bCs/>
                <w:sz w:val="20"/>
              </w:rPr>
              <w:t>Fee is ex</w:t>
            </w:r>
            <w:r w:rsidR="00C97D66">
              <w:rPr>
                <w:rFonts w:asciiTheme="minorHAnsi" w:hAnsiTheme="minorHAnsi" w:cs="Segoe UI Semibold"/>
                <w:bCs/>
                <w:sz w:val="20"/>
              </w:rPr>
              <w:t xml:space="preserve">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3C09F2">
        <w:trPr>
          <w:trHeight w:val="293"/>
        </w:trPr>
        <w:tc>
          <w:tcPr>
            <w:cnfStyle w:val="00100000000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7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367"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4640BD">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A3D7F" w:rsidRDefault="00FA3D7F">
      <w:pPr>
        <w:rPr>
          <w:rFonts w:asciiTheme="minorHAnsi" w:hAnsiTheme="minorHAnsi"/>
        </w:rPr>
      </w:pPr>
    </w:p>
    <w:p w:rsidR="00FA3D7F" w:rsidRDefault="00FA3D7F">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93074" w:rsidRDefault="00693074">
      <w:pPr>
        <w:rPr>
          <w:rFonts w:asciiTheme="minorHAnsi" w:hAnsiTheme="minorHAnsi"/>
        </w:rPr>
      </w:pPr>
    </w:p>
    <w:p w:rsidR="002176CF" w:rsidRDefault="002176CF">
      <w:pPr>
        <w:rPr>
          <w:rFonts w:asciiTheme="minorHAnsi" w:hAnsiTheme="minorHAnsi"/>
        </w:rPr>
      </w:pPr>
    </w:p>
    <w:p w:rsidR="00693074" w:rsidRDefault="00693074">
      <w:pPr>
        <w:rPr>
          <w:rFonts w:asciiTheme="minorHAnsi" w:hAnsiTheme="minorHAnsi"/>
        </w:rPr>
      </w:pPr>
    </w:p>
    <w:p w:rsidR="002176CF" w:rsidRDefault="002176CF">
      <w:pPr>
        <w:rPr>
          <w:rFonts w:asciiTheme="minorHAnsi" w:hAnsiTheme="minorHAnsi"/>
        </w:rPr>
      </w:pPr>
    </w:p>
    <w:p w:rsidR="002176CF" w:rsidRPr="00B26841" w:rsidRDefault="002176CF">
      <w:pPr>
        <w:rPr>
          <w:rFonts w:asciiTheme="minorHAnsi" w:hAnsiTheme="minorHAnsi"/>
        </w:rPr>
        <w:sectPr w:rsidR="002176CF"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BC0460" w:rsidRDefault="00BC0460"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sectPr w:rsidR="004B3A5D" w:rsidSect="00800675">
          <w:type w:val="continuous"/>
          <w:pgSz w:w="11906" w:h="16838" w:code="9"/>
          <w:pgMar w:top="806" w:right="922" w:bottom="900" w:left="1800" w:header="0" w:footer="0" w:gutter="0"/>
          <w:cols w:num="2" w:space="284"/>
          <w:titlePg/>
          <w:docGrid w:linePitch="299"/>
        </w:sectPr>
      </w:pPr>
    </w:p>
    <w:p w:rsidR="002176CF" w:rsidRDefault="002176CF" w:rsidP="001969FF">
      <w:pPr>
        <w:ind w:left="-709"/>
        <w:rPr>
          <w:rFonts w:asciiTheme="minorHAnsi" w:hAnsiTheme="minorHAnsi"/>
          <w:b/>
          <w:sz w:val="20"/>
        </w:rPr>
      </w:pPr>
    </w:p>
    <w:p w:rsidR="00D90843" w:rsidRDefault="00D90843" w:rsidP="001969FF">
      <w:pPr>
        <w:ind w:left="-709"/>
        <w:rPr>
          <w:rFonts w:asciiTheme="minorHAnsi" w:hAnsiTheme="minorHAnsi"/>
        </w:rPr>
      </w:pPr>
    </w:p>
    <w:p w:rsidR="004B3A5D" w:rsidRPr="00D90843" w:rsidRDefault="004B3A5D" w:rsidP="001969FF">
      <w:pPr>
        <w:ind w:left="-709"/>
        <w:rPr>
          <w:rFonts w:asciiTheme="minorHAnsi" w:hAnsiTheme="minorHAnsi"/>
        </w:rPr>
      </w:pP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 w:rsidR="002176CF" w:rsidRDefault="002176CF"/>
    <w:p w:rsidR="002176CF" w:rsidRDefault="002176CF"/>
    <w:p w:rsidR="002176CF" w:rsidRDefault="002176CF"/>
    <w:p w:rsidR="002176CF" w:rsidRDefault="002176CF">
      <w:pPr>
        <w:sectPr w:rsidR="002176CF" w:rsidSect="00800675">
          <w:type w:val="continuous"/>
          <w:pgSz w:w="11906" w:h="16838" w:code="9"/>
          <w:pgMar w:top="806" w:right="922" w:bottom="900" w:left="1800" w:header="0" w:footer="0" w:gutter="0"/>
          <w:cols w:num="2" w:space="284"/>
          <w:titlePg/>
          <w:docGrid w:linePitch="299"/>
        </w:sectPr>
      </w:pPr>
    </w:p>
    <w:p w:rsidR="00F81172" w:rsidRDefault="00F81172"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E840C7" w:rsidRPr="003C09F2" w:rsidRDefault="00E840C7" w:rsidP="00E840C7">
      <w:pPr>
        <w:jc w:val="center"/>
        <w:rPr>
          <w:rFonts w:asciiTheme="majorHAnsi" w:eastAsiaTheme="majorEastAsia" w:hAnsiTheme="majorHAnsi" w:cstheme="majorBidi"/>
          <w:b/>
          <w:bCs/>
          <w:color w:val="365F91" w:themeColor="accent1" w:themeShade="BF"/>
          <w:sz w:val="28"/>
          <w:szCs w:val="28"/>
        </w:rPr>
      </w:pPr>
      <w:r w:rsidRPr="003C09F2">
        <w:rPr>
          <w:rFonts w:asciiTheme="majorHAnsi" w:eastAsiaTheme="majorEastAsia" w:hAnsiTheme="majorHAnsi" w:cstheme="majorBidi"/>
          <w:b/>
          <w:bCs/>
          <w:color w:val="365F91" w:themeColor="accent1" w:themeShade="BF"/>
          <w:sz w:val="28"/>
          <w:szCs w:val="28"/>
        </w:rPr>
        <w:t xml:space="preserve">UNDERSTANDING RISK, CONTROL AND GOVERNANCE </w:t>
      </w:r>
    </w:p>
    <w:p w:rsidR="000D57B6" w:rsidRDefault="00E840C7" w:rsidP="00E840C7">
      <w:pPr>
        <w:jc w:val="center"/>
        <w:rPr>
          <w:rFonts w:asciiTheme="minorHAnsi" w:hAnsiTheme="minorHAnsi"/>
          <w:sz w:val="24"/>
          <w:szCs w:val="24"/>
        </w:rPr>
      </w:pPr>
      <w:r w:rsidRPr="003C09F2">
        <w:rPr>
          <w:rFonts w:asciiTheme="majorHAnsi" w:eastAsiaTheme="majorEastAsia" w:hAnsiTheme="majorHAnsi" w:cstheme="majorBidi"/>
          <w:b/>
          <w:bCs/>
          <w:color w:val="365F91" w:themeColor="accent1" w:themeShade="BF"/>
          <w:sz w:val="28"/>
          <w:szCs w:val="28"/>
        </w:rPr>
        <w:t>- A BETTER APPRECIATION</w:t>
      </w:r>
      <w:r w:rsidR="006807E9">
        <w:rPr>
          <w:rFonts w:asciiTheme="minorHAnsi" w:hAnsiTheme="minorHAnsi"/>
          <w:sz w:val="24"/>
          <w:szCs w:val="24"/>
        </w:rPr>
        <w:br/>
      </w:r>
      <w:r w:rsidR="003C09F2">
        <w:rPr>
          <w:rFonts w:asciiTheme="minorHAnsi" w:hAnsiTheme="minorHAnsi"/>
          <w:sz w:val="24"/>
          <w:szCs w:val="24"/>
        </w:rPr>
        <w:t>(</w:t>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3C09F2">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4640BD">
      <w:pPr>
        <w:rPr>
          <w:rFonts w:asciiTheme="minorHAnsi" w:hAnsiTheme="minorHAnsi"/>
          <w:sz w:val="24"/>
          <w:szCs w:val="24"/>
        </w:rPr>
      </w:pPr>
      <w:r w:rsidRPr="004640BD">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288"/>
        <w:gridCol w:w="450"/>
        <w:gridCol w:w="3240"/>
        <w:gridCol w:w="270"/>
        <w:gridCol w:w="270"/>
        <w:gridCol w:w="270"/>
        <w:gridCol w:w="299"/>
      </w:tblGrid>
      <w:tr w:rsidR="00FB169B" w:rsidRPr="00E76169" w:rsidTr="003C09F2">
        <w:tc>
          <w:tcPr>
            <w:tcW w:w="250" w:type="dxa"/>
          </w:tcPr>
          <w:p w:rsidR="00FB169B" w:rsidRPr="00E76169" w:rsidRDefault="004640BD"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top;mso-position-vertical-relative:margin">
                  <v:shadow on="t" offset=",3pt" offset2=",2pt"/>
                  <w10:wrap anchory="margin"/>
                </v:rect>
              </w:pict>
            </w:r>
          </w:p>
        </w:tc>
        <w:tc>
          <w:tcPr>
            <w:tcW w:w="2288" w:type="dxa"/>
          </w:tcPr>
          <w:p w:rsidR="00FB169B" w:rsidRPr="00E76169" w:rsidRDefault="003C09F2" w:rsidP="00E840C7">
            <w:pPr>
              <w:rPr>
                <w:rFonts w:asciiTheme="minorHAnsi" w:hAnsiTheme="minorHAnsi"/>
                <w:sz w:val="24"/>
                <w:szCs w:val="24"/>
                <w:lang w:val="en-US"/>
              </w:rPr>
            </w:pPr>
            <w:r>
              <w:rPr>
                <w:rFonts w:asciiTheme="minorHAnsi" w:hAnsiTheme="minorHAnsi"/>
                <w:sz w:val="24"/>
                <w:szCs w:val="24"/>
                <w:lang w:val="en-US"/>
              </w:rPr>
              <w:t>4</w:t>
            </w:r>
            <w:r w:rsidRPr="003C09F2">
              <w:rPr>
                <w:rFonts w:asciiTheme="minorHAnsi" w:hAnsiTheme="minorHAnsi"/>
                <w:sz w:val="24"/>
                <w:szCs w:val="24"/>
                <w:vertAlign w:val="superscript"/>
                <w:lang w:val="en-US"/>
              </w:rPr>
              <w:t>th</w:t>
            </w:r>
            <w:r>
              <w:rPr>
                <w:rFonts w:asciiTheme="minorHAnsi" w:hAnsiTheme="minorHAnsi"/>
                <w:sz w:val="24"/>
                <w:szCs w:val="24"/>
                <w:lang w:val="en-US"/>
              </w:rPr>
              <w:t xml:space="preserve"> November</w:t>
            </w:r>
          </w:p>
        </w:tc>
        <w:tc>
          <w:tcPr>
            <w:tcW w:w="450" w:type="dxa"/>
          </w:tcPr>
          <w:p w:rsidR="00FB169B" w:rsidRPr="00E76169" w:rsidRDefault="003C09F2" w:rsidP="00D102CC">
            <w:pPr>
              <w:rPr>
                <w:rFonts w:asciiTheme="minorHAnsi" w:hAnsiTheme="minorHAnsi"/>
                <w:sz w:val="24"/>
                <w:szCs w:val="24"/>
                <w:lang w:val="en-US"/>
              </w:rPr>
            </w:pPr>
            <w:r>
              <w:rPr>
                <w:rFonts w:asciiTheme="minorHAnsi" w:hAnsiTheme="minorHAnsi"/>
                <w:noProof/>
                <w:sz w:val="24"/>
                <w:szCs w:val="24"/>
                <w:lang w:val="en-US"/>
              </w:rPr>
              <w:pict>
                <v:rect id="_x0000_s1135" style="position:absolute;margin-left:3.4pt;margin-top:0;width:10.65pt;height:10.05pt;z-index:251748352;mso-position-horizontal-relative:text;mso-position-vertical:top;mso-position-vertical-relative:margin">
                  <v:shadow on="t" offset=",3pt" offset2=",2pt"/>
                  <w10:wrap anchory="margin"/>
                </v:rect>
              </w:pict>
            </w:r>
          </w:p>
        </w:tc>
        <w:tc>
          <w:tcPr>
            <w:tcW w:w="3240" w:type="dxa"/>
          </w:tcPr>
          <w:p w:rsidR="00FB169B" w:rsidRPr="00E76169" w:rsidRDefault="003C09F2" w:rsidP="001969FF">
            <w:pPr>
              <w:rPr>
                <w:rFonts w:asciiTheme="minorHAnsi" w:hAnsiTheme="minorHAnsi"/>
                <w:sz w:val="24"/>
                <w:szCs w:val="24"/>
                <w:lang w:val="en-US"/>
              </w:rPr>
            </w:pPr>
            <w:r>
              <w:rPr>
                <w:rFonts w:asciiTheme="minorHAnsi" w:hAnsiTheme="minorHAnsi"/>
                <w:sz w:val="24"/>
                <w:szCs w:val="24"/>
                <w:lang w:val="en-US"/>
              </w:rPr>
              <w:t>2</w:t>
            </w:r>
            <w:r w:rsidRPr="003C09F2">
              <w:rPr>
                <w:rFonts w:asciiTheme="minorHAnsi" w:hAnsiTheme="minorHAnsi"/>
                <w:sz w:val="24"/>
                <w:szCs w:val="24"/>
                <w:vertAlign w:val="superscript"/>
                <w:lang w:val="en-US"/>
              </w:rPr>
              <w:t>nd</w:t>
            </w:r>
            <w:r>
              <w:rPr>
                <w:rFonts w:asciiTheme="minorHAnsi" w:hAnsiTheme="minorHAnsi"/>
                <w:sz w:val="24"/>
                <w:szCs w:val="24"/>
                <w:lang w:val="en-US"/>
              </w:rPr>
              <w:t xml:space="preserve"> December 2016</w:t>
            </w:r>
          </w:p>
        </w:tc>
        <w:tc>
          <w:tcPr>
            <w:tcW w:w="270" w:type="dxa"/>
          </w:tcPr>
          <w:p w:rsidR="00FB169B" w:rsidRPr="00E76169" w:rsidRDefault="00FB169B" w:rsidP="00D102CC">
            <w:pPr>
              <w:rPr>
                <w:rFonts w:asciiTheme="minorHAnsi" w:hAnsiTheme="minorHAnsi"/>
                <w:sz w:val="24"/>
                <w:szCs w:val="24"/>
                <w:lang w:val="en-US"/>
              </w:rPr>
            </w:pPr>
          </w:p>
        </w:tc>
        <w:tc>
          <w:tcPr>
            <w:tcW w:w="270" w:type="dxa"/>
          </w:tcPr>
          <w:p w:rsidR="00FB169B" w:rsidRPr="00E76169" w:rsidRDefault="00FB169B" w:rsidP="00D102CC">
            <w:pPr>
              <w:rPr>
                <w:rFonts w:asciiTheme="minorHAnsi" w:hAnsiTheme="minorHAnsi"/>
                <w:sz w:val="24"/>
                <w:szCs w:val="24"/>
                <w:lang w:val="en-US"/>
              </w:rPr>
            </w:pPr>
          </w:p>
        </w:tc>
        <w:tc>
          <w:tcPr>
            <w:tcW w:w="270" w:type="dxa"/>
          </w:tcPr>
          <w:p w:rsidR="00FB169B" w:rsidRDefault="00FB169B" w:rsidP="00D102CC">
            <w:pPr>
              <w:rPr>
                <w:rFonts w:asciiTheme="minorHAnsi" w:hAnsiTheme="minorHAnsi"/>
                <w:sz w:val="24"/>
                <w:szCs w:val="24"/>
                <w:lang w:val="en-US"/>
              </w:rPr>
            </w:pPr>
          </w:p>
        </w:tc>
        <w:tc>
          <w:tcPr>
            <w:tcW w:w="29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4640BD" w:rsidP="00E76169">
      <w:pPr>
        <w:rPr>
          <w:rFonts w:asciiTheme="minorHAnsi" w:hAnsiTheme="minorHAnsi"/>
          <w:sz w:val="24"/>
          <w:szCs w:val="24"/>
        </w:rPr>
      </w:pPr>
      <w:r w:rsidRPr="004640BD">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3C09F2" w:rsidRDefault="003C09F2" w:rsidP="003C09F2">
      <w:pPr>
        <w:jc w:val="center"/>
        <w:rPr>
          <w:rFonts w:asciiTheme="minorHAnsi" w:hAnsiTheme="minorHAnsi"/>
          <w:noProof/>
          <w:sz w:val="24"/>
          <w:szCs w:val="24"/>
          <w:lang w:val="en-US"/>
        </w:rPr>
      </w:pPr>
      <w:r>
        <w:rPr>
          <w:rFonts w:asciiTheme="minorHAnsi" w:hAnsiTheme="minorHAnsi"/>
          <w:noProof/>
          <w:sz w:val="24"/>
          <w:szCs w:val="24"/>
          <w:lang w:val="en-US"/>
        </w:rPr>
        <w:pict>
          <v:shape id="_x0000_s1133" type="#_x0000_t55" style="position:absolute;left:0;text-align:left;margin-left:-17.8pt;margin-top:.2pt;width:11.05pt;height:16.85pt;z-index:251746304" strokecolor="#548dd4"/>
        </w:pict>
      </w:r>
      <w:r w:rsidRPr="00E94F5F">
        <w:rPr>
          <w:rFonts w:asciiTheme="minorHAnsi" w:hAnsiTheme="minorHAnsi"/>
          <w:noProof/>
          <w:sz w:val="24"/>
          <w:szCs w:val="24"/>
          <w:lang w:val="en-US"/>
        </w:rPr>
        <w:t xml:space="preserve">TO REGISTER, </w:t>
      </w:r>
    </w:p>
    <w:p w:rsidR="003C09F2" w:rsidRDefault="003C09F2" w:rsidP="003C09F2">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Pr>
          <w:rFonts w:asciiTheme="minorHAnsi" w:hAnsiTheme="minorHAnsi"/>
          <w:noProof/>
          <w:sz w:val="24"/>
          <w:szCs w:val="24"/>
          <w:lang w:val="en-US"/>
        </w:rPr>
        <w:t xml:space="preserve"> 03-7958 8001 / 03-7958 8002 OR</w:t>
      </w:r>
    </w:p>
    <w:p w:rsidR="003C09F2" w:rsidRDefault="003C09F2" w:rsidP="003C09F2">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Pr>
          <w:rFonts w:asciiTheme="minorHAnsi" w:hAnsiTheme="minorHAnsi"/>
          <w:noProof/>
          <w:sz w:val="24"/>
          <w:szCs w:val="24"/>
          <w:lang w:val="en-US"/>
        </w:rPr>
        <w:t xml:space="preserve"> 03-7954 8001</w:t>
      </w:r>
      <w:r w:rsidRPr="00E94F5F">
        <w:rPr>
          <w:rFonts w:asciiTheme="minorHAnsi" w:hAnsiTheme="minorHAnsi"/>
          <w:noProof/>
          <w:sz w:val="24"/>
          <w:szCs w:val="24"/>
          <w:lang w:val="en-US"/>
        </w:rPr>
        <w:t xml:space="preserve"> OR</w:t>
      </w:r>
    </w:p>
    <w:p w:rsidR="003C09F2" w:rsidRDefault="003C09F2" w:rsidP="003C09F2">
      <w:pPr>
        <w:jc w:val="center"/>
        <w:rPr>
          <w:rFonts w:asciiTheme="minorHAnsi" w:hAnsiTheme="minorHAnsi"/>
          <w:noProof/>
          <w:sz w:val="24"/>
          <w:szCs w:val="24"/>
          <w:lang w:val="en-US"/>
        </w:rPr>
      </w:pPr>
      <w:r w:rsidRPr="00E94F5F">
        <w:rPr>
          <w:rFonts w:asciiTheme="minorHAnsi" w:hAnsiTheme="minorHAnsi"/>
          <w:noProof/>
          <w:sz w:val="24"/>
          <w:szCs w:val="24"/>
          <w:lang w:val="en-US"/>
        </w:rPr>
        <w:t xml:space="preserve">E-MAIL TO: </w:t>
      </w:r>
      <w:hyperlink r:id="rId13" w:history="1">
        <w:r w:rsidRPr="00AE179D">
          <w:rPr>
            <w:rStyle w:val="Hyperlink"/>
            <w:rFonts w:asciiTheme="minorHAnsi" w:hAnsiTheme="minorHAnsi"/>
            <w:noProof/>
            <w:sz w:val="24"/>
            <w:szCs w:val="24"/>
            <w:lang w:val="en-US"/>
          </w:rPr>
          <w:t>bursatra5@gmail.com</w:t>
        </w:r>
      </w:hyperlink>
    </w:p>
    <w:p w:rsidR="003C09F2" w:rsidRPr="00C97D66" w:rsidRDefault="003C09F2" w:rsidP="003C09F2">
      <w:pPr>
        <w:jc w:val="center"/>
        <w:rPr>
          <w:rFonts w:asciiTheme="minorHAnsi" w:hAnsiTheme="minorHAnsi"/>
          <w:noProof/>
          <w:color w:val="548DD4" w:themeColor="text2" w:themeTint="99"/>
          <w:sz w:val="24"/>
          <w:szCs w:val="24"/>
          <w:lang w:val="en-US"/>
        </w:rPr>
      </w:pPr>
    </w:p>
    <w:p w:rsidR="003C09F2" w:rsidRDefault="003C09F2" w:rsidP="003C09F2">
      <w:pPr>
        <w:jc w:val="center"/>
        <w:rPr>
          <w:rFonts w:asciiTheme="minorHAnsi" w:hAnsiTheme="minorHAnsi"/>
          <w:sz w:val="24"/>
          <w:szCs w:val="24"/>
        </w:rPr>
      </w:pPr>
      <w:r>
        <w:rPr>
          <w:rFonts w:asciiTheme="minorHAnsi" w:hAnsiTheme="minorHAnsi"/>
          <w:noProof/>
          <w:sz w:val="24"/>
          <w:szCs w:val="24"/>
          <w:lang w:val="en-US"/>
        </w:rPr>
        <w:pict>
          <v:roundrect id="_x0000_s1134" style="position:absolute;left:0;text-align:left;margin-left:-.8pt;margin-top:1.7pt;width:459.85pt;height:50.25pt;z-index:251747328" arcsize="10923f" fillcolor="white [3201]" strokecolor="black [3200]" strokeweight="2.5pt">
            <v:shadow color="#868686"/>
            <v:textbox>
              <w:txbxContent>
                <w:p w:rsidR="003C09F2" w:rsidRPr="00BC0460" w:rsidRDefault="003C09F2" w:rsidP="003C09F2">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3C09F2" w:rsidRDefault="003C09F2" w:rsidP="003C09F2"/>
              </w:txbxContent>
            </v:textbox>
          </v:roundrect>
        </w:pict>
      </w:r>
    </w:p>
    <w:p w:rsidR="003C09F2" w:rsidRDefault="003C09F2" w:rsidP="003C09F2">
      <w:pPr>
        <w:jc w:val="center"/>
        <w:rPr>
          <w:rFonts w:asciiTheme="minorHAnsi" w:hAnsiTheme="minorHAnsi"/>
          <w:sz w:val="24"/>
          <w:szCs w:val="24"/>
        </w:rPr>
      </w:pPr>
    </w:p>
    <w:p w:rsidR="003C09F2" w:rsidRDefault="003C09F2" w:rsidP="003C09F2">
      <w:pPr>
        <w:jc w:val="center"/>
        <w:rPr>
          <w:rFonts w:asciiTheme="minorHAnsi" w:hAnsiTheme="minorHAnsi"/>
          <w:sz w:val="24"/>
          <w:szCs w:val="24"/>
        </w:rPr>
      </w:pPr>
    </w:p>
    <w:p w:rsidR="003C09F2" w:rsidRDefault="003C09F2" w:rsidP="003C09F2">
      <w:pPr>
        <w:jc w:val="center"/>
        <w:rPr>
          <w:rFonts w:asciiTheme="minorHAnsi" w:hAnsiTheme="minorHAnsi"/>
          <w:sz w:val="24"/>
          <w:szCs w:val="24"/>
        </w:rPr>
      </w:pPr>
    </w:p>
    <w:p w:rsidR="003C09F2" w:rsidRDefault="003C09F2" w:rsidP="003C09F2">
      <w:pPr>
        <w:ind w:left="252" w:right="252"/>
        <w:jc w:val="center"/>
        <w:rPr>
          <w:rFonts w:ascii="Century Gothic" w:hAnsi="Century Gothic"/>
          <w:b/>
          <w:color w:val="FF0000"/>
          <w:sz w:val="20"/>
        </w:rPr>
      </w:pPr>
    </w:p>
    <w:p w:rsidR="003C09F2" w:rsidRPr="002B7973" w:rsidRDefault="003C09F2" w:rsidP="003C09F2">
      <w:pPr>
        <w:ind w:left="252" w:right="252"/>
        <w:jc w:val="center"/>
        <w:rPr>
          <w:rFonts w:ascii="Calibri" w:hAnsi="Calibri"/>
          <w:color w:val="000000"/>
          <w:sz w:val="20"/>
        </w:rPr>
      </w:pPr>
      <w:r w:rsidRPr="002B7973">
        <w:rPr>
          <w:rFonts w:ascii="Calibri" w:hAnsi="Calibri"/>
          <w:b/>
          <w:color w:val="FF0000"/>
          <w:sz w:val="20"/>
        </w:rPr>
        <w:t>BURSATRA SDN BHD</w:t>
      </w:r>
      <w:r w:rsidRPr="002B7973">
        <w:rPr>
          <w:rFonts w:ascii="Calibri" w:hAnsi="Calibri"/>
          <w:color w:val="000000"/>
          <w:sz w:val="20"/>
        </w:rPr>
        <w:t xml:space="preserve"> is a registered training provider with PSMB (Reg. No: 520353-U)</w:t>
      </w:r>
    </w:p>
    <w:p w:rsidR="002176CF" w:rsidRPr="00E76169" w:rsidRDefault="002176CF" w:rsidP="003C09F2">
      <w:pPr>
        <w:jc w:val="center"/>
        <w:rPr>
          <w:rFonts w:asciiTheme="minorHAnsi" w:hAnsiTheme="minorHAnsi"/>
          <w:sz w:val="24"/>
          <w:szCs w:val="24"/>
        </w:rPr>
      </w:pPr>
    </w:p>
    <w:sectPr w:rsidR="002176CF"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F8E" w:rsidRDefault="00353F8E">
      <w:r>
        <w:separator/>
      </w:r>
    </w:p>
  </w:endnote>
  <w:endnote w:type="continuationSeparator" w:id="1">
    <w:p w:rsidR="00353F8E" w:rsidRDefault="00353F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F8E" w:rsidRDefault="00353F8E">
      <w:r>
        <w:separator/>
      </w:r>
    </w:p>
  </w:footnote>
  <w:footnote w:type="continuationSeparator" w:id="1">
    <w:p w:rsidR="00353F8E" w:rsidRDefault="00353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4640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4640BD" w:rsidP="00C24690">
    <w:pPr>
      <w:pStyle w:val="Heading5"/>
      <w:ind w:left="-810" w:hanging="90"/>
      <w:rPr>
        <w:rFonts w:ascii="Century Gothic" w:hAnsi="Century Gothic"/>
        <w:i w:val="0"/>
        <w:iCs/>
        <w:sz w:val="24"/>
        <w:szCs w:val="24"/>
      </w:rPr>
    </w:pPr>
    <w:r w:rsidRPr="004640B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4640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2AB"/>
    <w:multiLevelType w:val="hybridMultilevel"/>
    <w:tmpl w:val="13FC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472FE"/>
    <w:multiLevelType w:val="hybridMultilevel"/>
    <w:tmpl w:val="B198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9B745D"/>
    <w:multiLevelType w:val="hybridMultilevel"/>
    <w:tmpl w:val="C580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9543A6"/>
    <w:multiLevelType w:val="hybridMultilevel"/>
    <w:tmpl w:val="1774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11"/>
  </w:num>
  <w:num w:numId="5">
    <w:abstractNumId w:val="2"/>
  </w:num>
  <w:num w:numId="6">
    <w:abstractNumId w:val="13"/>
  </w:num>
  <w:num w:numId="7">
    <w:abstractNumId w:val="8"/>
  </w:num>
  <w:num w:numId="8">
    <w:abstractNumId w:val="5"/>
  </w:num>
  <w:num w:numId="9">
    <w:abstractNumId w:val="4"/>
  </w:num>
  <w:num w:numId="10">
    <w:abstractNumId w:val="1"/>
  </w:num>
  <w:num w:numId="11">
    <w:abstractNumId w:val="6"/>
  </w:num>
  <w:num w:numId="12">
    <w:abstractNumId w:val="10"/>
  </w:num>
  <w:num w:numId="13">
    <w:abstractNumId w:val="3"/>
  </w:num>
  <w:num w:numId="14">
    <w:abstractNumId w:val="16"/>
  </w:num>
  <w:num w:numId="15">
    <w:abstractNumId w:val="9"/>
  </w:num>
  <w:num w:numId="16">
    <w:abstractNumId w:val="0"/>
  </w:num>
  <w:num w:numId="17">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4098">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E7B65"/>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176CF"/>
    <w:rsid w:val="0022291C"/>
    <w:rsid w:val="0024105E"/>
    <w:rsid w:val="002473F6"/>
    <w:rsid w:val="002513A9"/>
    <w:rsid w:val="00254A86"/>
    <w:rsid w:val="00257F18"/>
    <w:rsid w:val="002614B2"/>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C286F"/>
    <w:rsid w:val="002D152D"/>
    <w:rsid w:val="002D1EA7"/>
    <w:rsid w:val="002D40CE"/>
    <w:rsid w:val="002D76A9"/>
    <w:rsid w:val="002E6DF0"/>
    <w:rsid w:val="002E6DF1"/>
    <w:rsid w:val="002F32AA"/>
    <w:rsid w:val="002F629E"/>
    <w:rsid w:val="002F679A"/>
    <w:rsid w:val="00304457"/>
    <w:rsid w:val="003215CC"/>
    <w:rsid w:val="00321A2B"/>
    <w:rsid w:val="00323457"/>
    <w:rsid w:val="00324A08"/>
    <w:rsid w:val="003300F6"/>
    <w:rsid w:val="003324DF"/>
    <w:rsid w:val="00336392"/>
    <w:rsid w:val="0034120C"/>
    <w:rsid w:val="00350723"/>
    <w:rsid w:val="0035263B"/>
    <w:rsid w:val="00353F8E"/>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09F2"/>
    <w:rsid w:val="003C4202"/>
    <w:rsid w:val="003E086B"/>
    <w:rsid w:val="003E2AB7"/>
    <w:rsid w:val="003F3712"/>
    <w:rsid w:val="003F41F3"/>
    <w:rsid w:val="003F681A"/>
    <w:rsid w:val="003F6F40"/>
    <w:rsid w:val="003F7192"/>
    <w:rsid w:val="004032DA"/>
    <w:rsid w:val="0040695E"/>
    <w:rsid w:val="00410606"/>
    <w:rsid w:val="00410B3A"/>
    <w:rsid w:val="00414805"/>
    <w:rsid w:val="004276D5"/>
    <w:rsid w:val="00443702"/>
    <w:rsid w:val="0044426B"/>
    <w:rsid w:val="004458E8"/>
    <w:rsid w:val="00445F40"/>
    <w:rsid w:val="004531DD"/>
    <w:rsid w:val="0045628D"/>
    <w:rsid w:val="004640B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77EB1"/>
    <w:rsid w:val="00782EDD"/>
    <w:rsid w:val="00784BD4"/>
    <w:rsid w:val="0079258D"/>
    <w:rsid w:val="007A38E3"/>
    <w:rsid w:val="007A60B4"/>
    <w:rsid w:val="007B4216"/>
    <w:rsid w:val="007C2367"/>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BE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0C7"/>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1172"/>
    <w:rsid w:val="00F8399C"/>
    <w:rsid w:val="00F91A35"/>
    <w:rsid w:val="00F928D5"/>
    <w:rsid w:val="00F96AA8"/>
    <w:rsid w:val="00FA01A1"/>
    <w:rsid w:val="00FA2083"/>
    <w:rsid w:val="00FA3D7F"/>
    <w:rsid w:val="00FA6F8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LightShading">
    <w:name w:val="Light Shading"/>
    <w:basedOn w:val="TableNormal"/>
    <w:uiPriority w:val="60"/>
    <w:rsid w:val="003C09F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ursatra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89E74-A1C0-4AAB-A859-28AF2674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2027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lastModifiedBy>hp</cp:lastModifiedBy>
  <cp:revision>5</cp:revision>
  <cp:lastPrinted>2015-07-06T11:13:00Z</cp:lastPrinted>
  <dcterms:created xsi:type="dcterms:W3CDTF">2016-02-01T17:55:00Z</dcterms:created>
  <dcterms:modified xsi:type="dcterms:W3CDTF">2016-09-15T19:34:00Z</dcterms:modified>
  <cp:category>CGBP</cp:category>
</cp:coreProperties>
</file>